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Tabella di Sintesi delle Valutazioni delle Commissioni Paritetiche 2024 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(Parte 3: Corsi di studio)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NB: da allegare alla Relazione Annuale CPDS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i w:val="1"/>
          <w:color w:val="0070c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70c0"/>
          <w:sz w:val="26"/>
          <w:szCs w:val="26"/>
          <w:rtl w:val="0"/>
        </w:rPr>
        <w:t xml:space="preserve">Riassumere i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70c0"/>
          <w:sz w:val="26"/>
          <w:szCs w:val="26"/>
          <w:u w:val="single"/>
          <w:rtl w:val="0"/>
        </w:rPr>
        <w:t xml:space="preserve">Punti di Forza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70c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70c0"/>
          <w:sz w:val="26"/>
          <w:szCs w:val="26"/>
          <w:rtl w:val="0"/>
        </w:rPr>
        <w:t xml:space="preserve">(1) e le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70c0"/>
          <w:sz w:val="26"/>
          <w:szCs w:val="26"/>
          <w:u w:val="single"/>
          <w:rtl w:val="0"/>
        </w:rPr>
        <w:t xml:space="preserve">Aree di Miglioramento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70c0"/>
          <w:sz w:val="26"/>
          <w:szCs w:val="26"/>
          <w:rtl w:val="0"/>
        </w:rPr>
        <w:t xml:space="preserve"> (2 ) rilevate per ogni CdS e per ogni Punto di Attenzione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right="-30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Punto di Forza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: è un’azione già messa in atto dal CdS, che ha permesso di risolvere una criticità o di migliorare la qualità del CdS; non è un’azione routinaria ed è tale da poter essere eventualmente replicata da altri CdS;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.9291338582675" w:right="-30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Area di Miglioramento: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si tratta di un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’area rispetto alla quale vengono rilevate criticità, che possono influire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negativamente sull’andamento e sulla qualità del CdS e che, dunque,  richied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ono l’adozione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azion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correttiv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00" w:firstLine="0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650"/>
        <w:gridCol w:w="3285"/>
        <w:gridCol w:w="3495"/>
        <w:gridCol w:w="4395"/>
        <w:tblGridChange w:id="0">
          <w:tblGrid>
            <w:gridCol w:w="1755"/>
            <w:gridCol w:w="1650"/>
            <w:gridCol w:w="3285"/>
            <w:gridCol w:w="3495"/>
            <w:gridCol w:w="439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bottom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Corso di Studio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Punto Attenzione 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Breve descrizione dei Punti di Forza rilevati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Breve descrizione delle Aree di Miglioramento rilevate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Azioni proposte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CdS1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3.1.1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…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….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…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3.2.3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…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….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…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…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Helvetica Neue" w:cs="Helvetica Neue" w:eastAsia="Helvetica Neue" w:hAnsi="Helvetica Neue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CdS ...N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Helvetica Neue" w:cs="Helvetica Neue" w:eastAsia="Helvetica Neue" w:hAnsi="Helvetica Neue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Helvetica Neue" w:cs="Helvetica Neue" w:eastAsia="Helvetica Neue" w:hAnsi="Helvetica Neue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0" w:w="16840" w:orient="landscape"/>
      <w:pgMar w:bottom="1134" w:top="993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tbl>
    <w:tblPr>
      <w:tblStyle w:val="Table2"/>
      <w:tblW w:w="14764.0" w:type="dxa"/>
      <w:jc w:val="left"/>
      <w:tblInd w:w="10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2364"/>
      <w:gridCol w:w="2400"/>
      <w:tblGridChange w:id="0">
        <w:tblGrid>
          <w:gridCol w:w="12364"/>
          <w:gridCol w:w="2400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F">
          <w:pPr>
            <w:rPr/>
          </w:pPr>
          <w:r w:rsidDel="00000000" w:rsidR="00000000" w:rsidRPr="00000000">
            <w:rPr>
              <w:sz w:val="28"/>
              <w:szCs w:val="28"/>
              <w:rtl w:val="0"/>
            </w:rPr>
            <w:t xml:space="preserve">Dipartimento/Facoltà di …….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0">
          <w:pPr>
            <w:ind w:right="144"/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1135380" cy="396240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380" cy="396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spacing w:line="360" w:lineRule="auto"/>
      <w:ind w:right="98"/>
      <w:jc w:val="both"/>
      <w:rPr>
        <w:b w:val="1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38E2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B53D9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0B3890"/>
    <w:pPr>
      <w:ind w:left="720"/>
      <w:contextualSpacing w:val="1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122A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122A6F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122A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122A6F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122A6F"/>
    <w:rPr>
      <w:b w:val="1"/>
      <w:bCs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22A6F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22A6F"/>
    <w:rPr>
      <w:rFonts w:ascii="Segoe UI" w:cs="Segoe UI" w:hAnsi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2B4B8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B4B8C"/>
  </w:style>
  <w:style w:type="paragraph" w:styleId="Pidipagina">
    <w:name w:val="footer"/>
    <w:basedOn w:val="Normale"/>
    <w:link w:val="PidipaginaCarattere"/>
    <w:uiPriority w:val="99"/>
    <w:unhideWhenUsed w:val="1"/>
    <w:rsid w:val="002B4B8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B4B8C"/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QU3Gtgtu10A4ARes+JYKLT3Kg==">CgMxLjAyCGguZ2pkZ3hzOAByITFqVVhMQ1dxdjRwOEtRUlZSeEZmaGl0cFNkU1JTN3EwdQ==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2023-07-12T10:59:00Z</dcterms:created>
  <dc:creator>Davide MALAGOLI</dc:creator>
</cp:coreProperties>
</file>