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-10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80"/>
        <w:tblGridChange w:id="0">
          <w:tblGrid>
            <w:gridCol w:w="11880"/>
          </w:tblGrid>
        </w:tblGridChange>
      </w:tblGrid>
      <w:tr>
        <w:trPr>
          <w:cantSplit w:val="0"/>
          <w:trHeight w:val="1364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1412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2816438" cy="1006475"/>
                  <wp:effectExtent b="0" l="0" r="0" t="0"/>
                  <wp:wrapTopAndBottom distB="0" dist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438" cy="1006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171" w:right="4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60" w:before="0" w:lineRule="auto"/>
              <w:ind w:left="171" w:right="4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spacing w:after="60" w:before="0" w:lineRule="auto"/>
              <w:ind w:left="171" w:right="4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spacing w:after="60" w:before="0" w:lineRule="auto"/>
              <w:ind w:left="171" w:right="4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566.9291338582677" w:right="1040.078740157480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Relazione Annuale 202</w:t>
            </w:r>
            <w:r w:rsidDel="00000000" w:rsidR="00000000" w:rsidRPr="00000000">
              <w:rPr>
                <w:color w:val="ffffff"/>
                <w:sz w:val="52"/>
                <w:szCs w:val="52"/>
                <w:rtl w:val="0"/>
              </w:rPr>
              <w:t xml:space="preserve">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 della Commissione Paritetica Docenti Studenti del Dipartimento/Facoltà di …</w:t>
            </w:r>
          </w:p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566.9291338582677" w:right="1040.078740157480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ind w:left="566.9291338582677" w:right="1040.0787401574808" w:firstLine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ind w:left="566.9291338582677" w:right="1040.0787401574808" w:firstLine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Approvata in data ...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ffffff"/>
          <w:sz w:val="16"/>
          <w:szCs w:val="1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14124" w:val="clear"/>
        <w:spacing w:after="120" w:before="0" w:line="240" w:lineRule="auto"/>
        <w:ind w:left="0" w:right="0" w:firstLine="0"/>
        <w:jc w:val="center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Parte 1: Composizione e organizzazione della Commissione Paritetica Docenti-Studenti (CPDS)</w:t>
      </w:r>
    </w:p>
    <w:p w:rsidR="00000000" w:rsidDel="00000000" w:rsidP="00000000" w:rsidRDefault="00000000" w:rsidRPr="00000000" w14:paraId="0000000D">
      <w:pPr>
        <w:jc w:val="both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Elenco dei CdS afferenti al  Dipartimento/Facoltà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before="0" w:lineRule="auto"/>
        <w:ind w:left="720" w:hanging="36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Corso di Laurea in …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before="0" w:lineRule="auto"/>
        <w:ind w:left="720" w:hanging="36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Corso di Laurea Magistrale a Ciclo Unico in ...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before="0" w:lineRule="auto"/>
        <w:ind w:left="720" w:hanging="36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Corso di Laurea Magistrale in ...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Composizione della CPDS </w:t>
      </w: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3"/>
        <w:gridCol w:w="2496"/>
        <w:gridCol w:w="2400"/>
        <w:gridCol w:w="2388"/>
        <w:tblGridChange w:id="0">
          <w:tblGrid>
            <w:gridCol w:w="2353"/>
            <w:gridCol w:w="2496"/>
            <w:gridCol w:w="2400"/>
            <w:gridCol w:w="238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0" w:line="240" w:lineRule="auto"/>
              <w:jc w:val="center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DOCENTI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0" w:line="240" w:lineRule="auto"/>
              <w:jc w:val="center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STUDENTI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0" w:line="240" w:lineRule="auto"/>
              <w:jc w:val="center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0" w:line="240" w:lineRule="auto"/>
              <w:jc w:val="center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CdS/Area di afferenza (*)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0" w:line="240" w:lineRule="auto"/>
              <w:jc w:val="center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0" w:line="240" w:lineRule="auto"/>
              <w:jc w:val="center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CdS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Helvetica Neue Light" w:cs="Helvetica Neue Light" w:eastAsia="Helvetica Neue Light" w:hAnsi="Helvetica Neue Ligh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Helvetica Neue Light" w:cs="Helvetica Neue Light" w:eastAsia="Helvetica Neue Light" w:hAnsi="Helvetica Neue Light"/>
          <w:sz w:val="16"/>
          <w:szCs w:val="1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16"/>
          <w:szCs w:val="16"/>
          <w:rtl w:val="0"/>
        </w:rPr>
        <w:t xml:space="preserve">* Nel caso in cui il Docente rappresenti CdS affini raggruppati in una stessa Area (es. Laurea e Laurea Magistrale)</w:t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rlrsclbib5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8"/>
      <w:bookmarkEnd w:id="8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 Date di nomina e riunioni della CPDS</w:t>
      </w:r>
    </w:p>
    <w:p w:rsidR="00000000" w:rsidDel="00000000" w:rsidP="00000000" w:rsidRDefault="00000000" w:rsidRPr="00000000" w14:paraId="00000036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La CPDS è stata istituita in data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rtl w:val="0"/>
        </w:rPr>
        <w:t xml:space="preserve">gg.mm.aaaa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e nominata nella sua attuale composizione nel Consiglio di Dipartimento del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0000ff"/>
          <w:rtl w:val="0"/>
        </w:rPr>
        <w:t xml:space="preserve">gg.mm.aaaa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.</w:t>
      </w:r>
    </w:p>
    <w:p w:rsidR="00000000" w:rsidDel="00000000" w:rsidP="00000000" w:rsidRDefault="00000000" w:rsidRPr="00000000" w14:paraId="00000037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La CPDS si è riunita nelle seguenti modalità e tempistiche:</w:t>
      </w:r>
      <w:r w:rsidDel="00000000" w:rsidR="00000000" w:rsidRPr="00000000">
        <w:rPr>
          <w:rFonts w:ascii="Helvetica Neue Light" w:cs="Helvetica Neue Light" w:eastAsia="Helvetica Neue Light" w:hAnsi="Helvetica Neue Light"/>
          <w:vertAlign w:val="superscript"/>
        </w:rPr>
        <w:footnoteReference w:customMarkFollows="0" w:id="1"/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Helvetica Neue Light" w:cs="Helvetica Neue Light" w:eastAsia="Helvetica Neue Light" w:hAnsi="Helvetica Neue Light"/>
          <w:color w:val="0000ff"/>
          <w:sz w:val="22"/>
          <w:szCs w:val="2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0000ff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I verbali delle riunioni sopra elencate sono disponibili on line all’indirizzo: …</w:t>
      </w:r>
    </w:p>
    <w:p w:rsidR="00000000" w:rsidDel="00000000" w:rsidP="00000000" w:rsidRDefault="00000000" w:rsidRPr="00000000" w14:paraId="0000003A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9"/>
      <w:bookmarkEnd w:id="9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 Modalità di lavoro della CPDS</w:t>
      </w:r>
      <w:r w:rsidDel="00000000" w:rsidR="00000000" w:rsidRPr="00000000">
        <w:rPr>
          <w:rtl w:val="0"/>
        </w:rPr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s8eyo1" w:id="10"/>
            <w:bookmarkEnd w:id="10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 da considerare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bookmarkStart w:colFirst="0" w:colLast="0" w:name="_heading=h.17dp8vu" w:id="11"/>
            <w:bookmarkEnd w:id="11"/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Breve descrizione dell’organizzazione del lavoro della CPDS ai fini della redazione della Relazione annuale 2023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Eventuali criticità emerse (composizione; scarsa partecipazione; adeguatezza della formazione dei membri; tempistica; ecc.)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Modalità di raccolta delle osservazioni / segnalazioni pervenute dagli studenti (non della CPDS)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Modalità di restituzione dei risultati del lavoro della CPDS alla generalità degli studenti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Breve descrizione delle eventuali altre attività svolte dalla CPDS diversa da quelle connesse alla Relazione annuale</w:t>
            </w:r>
          </w:p>
        </w:tc>
      </w:tr>
    </w:tbl>
    <w:p w:rsidR="00000000" w:rsidDel="00000000" w:rsidP="00000000" w:rsidRDefault="00000000" w:rsidRPr="00000000" w14:paraId="0000004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rdcrjn" w:id="12"/>
      <w:bookmarkEnd w:id="12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 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link e indicazione specifica della fonte documentale analizzata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Punti di Forza: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48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fn636zsnibmo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spacing w:after="40" w:before="220" w:lineRule="auto"/>
        <w:rPr>
          <w:b w:val="1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Aree di Miglioramento: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suggerimenti e indicazioni di buone pratiche da segnalare a PQA e NdV: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 Light" w:cs="Helvetica Neue Light" w:eastAsia="Helvetica Neue Light" w:hAnsi="Helvetica Neue Light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 Light" w:cs="Helvetica Neue Light" w:eastAsia="Helvetica Neue Light" w:hAnsi="Helvetica Neue Light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Helvetica Neue Light" w:cs="Helvetica Neue Light" w:eastAsia="Helvetica Neue Light" w:hAnsi="Helvetica Neue Light"/>
          <w:sz w:val="28"/>
          <w:szCs w:val="28"/>
          <w:highlight w:val="yellow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14124" w:val="clear"/>
        <w:spacing w:after="120" w:before="0" w:line="240" w:lineRule="auto"/>
        <w:ind w:left="0" w:right="0" w:firstLine="0"/>
        <w:jc w:val="center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lnxbz9" w:id="15"/>
      <w:bookmarkEnd w:id="15"/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Parte 2: Dipartimento/Facoltà</w:t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14124" w:val="clear"/>
        <w:spacing w:after="120" w:before="0" w:line="240" w:lineRule="auto"/>
        <w:ind w:left="0" w:right="0" w:firstLine="0"/>
        <w:jc w:val="center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0" w:line="276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8xa3p4re40xa" w:id="17"/>
      <w:bookmarkEnd w:id="17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Dotazione di Strutture e supporto alla didattica </w:t>
      </w:r>
      <w:r w:rsidDel="00000000" w:rsidR="00000000" w:rsidRPr="00000000">
        <w:rPr>
          <w:rtl w:val="0"/>
        </w:rPr>
      </w:r>
    </w:p>
    <w:tbl>
      <w:tblPr>
        <w:tblStyle w:val="Table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="240" w:lineRule="auto"/>
              <w:jc w:val="both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Punto di attenzione</w:t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="240" w:lineRule="auto"/>
              <w:jc w:val="both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Il Dipartimento/Facoltà dispone di adeguate strutture, attrezzature e risorse di sostegno alla didattica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="240" w:lineRule="auto"/>
              <w:jc w:val="both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9.228515624999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 da considerare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Il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Dipartimento/Facoltà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 dispone di un’adeguata dotazione di risorse strutturali (aule, laboratori, aule informatiche, spazi per lo studio individuale, biblioteche, etc) e attrezzature per lo svolgimento delle attività didattiche.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Fonti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SUA-CdS Quadro B4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Analisi o indagini autonomamente condotte dalla CP-DS (indicare modalità di rilevazione)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Eventuali altri documenti del Dipartimento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[massimo 4.000 caratteri, spazi inclusi]</w:t>
            </w:r>
          </w:p>
        </w:tc>
      </w:tr>
    </w:tbl>
    <w:p w:rsidR="00000000" w:rsidDel="00000000" w:rsidP="00000000" w:rsidRDefault="00000000" w:rsidRPr="00000000" w14:paraId="0000005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5m45gggswsjh" w:id="18"/>
      <w:bookmarkEnd w:id="18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i w:val="1"/>
        </w:rPr>
      </w:pPr>
      <w:bookmarkStart w:colFirst="0" w:colLast="0" w:name="_heading=h.uxu48ihcg5vy" w:id="19"/>
      <w:bookmarkEnd w:id="19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link e indicazione specifica della fonte documentale analizzata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Punti di Forza: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63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f2lwlry8e9p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Aree di Miglioramento: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65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8wj9h03v84h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Helvetica Neue Light" w:cs="Helvetica Neue Light" w:eastAsia="Helvetica Neue Light" w:hAnsi="Helvetica Neue Light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Suggerimenti: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Inserire testo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0" w:line="276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z337ya" w:id="22"/>
      <w:bookmarkEnd w:id="22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Servizi di supporto agli studenti forniti dal Dipartimento/Facoltà</w:t>
      </w:r>
    </w:p>
    <w:tbl>
      <w:tblPr>
        <w:tblStyle w:val="Table5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Punto di attenzione</w:t>
            </w:r>
          </w:p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Il Dipartimento/Facoltà organizza e verifica l’efficacia dei servizi di supporto agli studenti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 da considerare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(1) I servizi di segreteria studenti, segreteria didattica, coordinatori didattici sono adeguati alle esigenze dei CdS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(2) Sono previste attività di orientamento in ingresso e tengono conto dei risultati del monitoraggio delle carriere. Se previste, sono monitorate ed efficaci.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(3) Sono previste attività di orientamento e di tutorato in itinere e tengono conto dei risultati del monitoraggio delle carriere. Se previste, sono monitorate ed efficaci.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(4) Sono previste attività di assistenza per tirocini e/o stage. Se previste, sono monitorate ed efficaci. (tempi di attesa, qualità del supporto degli uffici, ecc…)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(5) Sono previste attività di assistenza e di sostegno per mobilità internazionale degli studenti (Erasmus, ecc…). Se previste, sono monitorate ed efficaci. (tempi di attesa, qualità del supporto degli uffici, ecc…)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455" w:hanging="360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(6) Sono previste iniziative di accompagnamento al lavoro (escluse quelle organizzate a livello di Ateneo) e tengono conto dei risultati del monitoraggio degli esiti e delle prospettive occupazionali. Se previste, sono monitorate ed efficaci.</w:t>
            </w:r>
          </w:p>
          <w:p w:rsidR="00000000" w:rsidDel="00000000" w:rsidP="00000000" w:rsidRDefault="00000000" w:rsidRPr="00000000" w14:paraId="00000071">
            <w:pPr>
              <w:spacing w:before="0" w:lineRule="auto"/>
              <w:jc w:val="both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76" w:lineRule="auto"/>
              <w:ind w:left="0" w:right="313" w:firstLine="0"/>
              <w:jc w:val="both"/>
              <w:rPr>
                <w:rFonts w:ascii="Helvetica Neue Light" w:cs="Helvetica Neue Light" w:eastAsia="Helvetica Neue Light" w:hAnsi="Helvetica Neue Light"/>
                <w:b w:val="0"/>
                <w:i w:val="1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NOTA BENE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0"/>
                <w:i w:val="1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alcuni dei servizi di supporto agli studenti sono organizzati e verificati a livello di CdS, articolare  l’analisi per CdS.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Fonti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Analisi o indagini autonomamente condotte dalla CP-DS (indicare modalità di rilevazione)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ind w:left="720" w:hanging="360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Eventuali altri documenti del Dipartimento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[massimo 4.000 caratteri, spazi inclusi]</w:t>
            </w:r>
          </w:p>
        </w:tc>
      </w:tr>
    </w:tbl>
    <w:p w:rsidR="00000000" w:rsidDel="00000000" w:rsidP="00000000" w:rsidRDefault="00000000" w:rsidRPr="00000000" w14:paraId="0000007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rntsdbf53sfc" w:id="23"/>
      <w:bookmarkEnd w:id="23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lsd053jqsnuz" w:id="24"/>
      <w:bookmarkEnd w:id="24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link e indicazione specifica della fonte documentale analizzata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Punti di Forza: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7D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f2lwlry8e9p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Aree di Miglioramento: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7F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8wj9h03v84h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Helvetica Neue Light" w:cs="Helvetica Neue Light" w:eastAsia="Helvetica Neue Light" w:hAnsi="Helvetica Neue Light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Suggerimenti: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Inserire testo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0" w:line="276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 Analisi a livello di Dipartimento/Facoltà dei risultati della rilevazione dell’opinione degli studenti</w:t>
      </w:r>
    </w:p>
    <w:tbl>
      <w:tblPr>
        <w:tblStyle w:val="Table6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1155cc"/>
              </w:rPr>
            </w:pPr>
            <w:bookmarkStart w:colFirst="0" w:colLast="0" w:name="_heading=h.1y810tw" w:id="25"/>
            <w:bookmarkEnd w:id="25"/>
            <w:r w:rsidDel="00000000" w:rsidR="00000000" w:rsidRPr="00000000">
              <w:rPr>
                <w:b w:val="1"/>
                <w:color w:val="1155cc"/>
                <w:rtl w:val="0"/>
              </w:rPr>
              <w:t xml:space="preserve">Punto di attenzione</w:t>
            </w:r>
          </w:p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Il Dipartimento/Facoltà analizza e discute i risultati della rilevazione dell’opinione degli studenti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 da considerare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Il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Dipartimento/Facoltà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discute i risultati dei questionari della rilevazione dell’opinione degli studenti a livello di insegnamento (anonimo)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6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Il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Dipartimento/Facoltà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 dà conto agli studenti dei risultati della rilevazione dell’opinione degli studenti e delle azioni intraprese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6"/>
              </w:numPr>
              <w:ind w:left="720" w:hanging="360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Tali attività sono adeguatamente documentate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highlight w:val="white"/>
                <w:rtl w:val="0"/>
              </w:rPr>
              <w:t xml:space="preserve">Sistema di Gestione di AQ del Dipartimento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  <w:highlight w:val="white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Verbali Consiglio di Dipartimento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highlight w:val="white"/>
                <w:rtl w:val="0"/>
              </w:rPr>
              <w:t xml:space="preserve">Analisi o indagini autonomamente condotte dalla CPDS (indicare modalità di rilevazione)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ind w:left="720" w:hanging="360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Eventuali altri documenti del Dipartimento (specificare)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[massimo 1.500 caratteri, spazi inclusi]</w:t>
            </w:r>
          </w:p>
        </w:tc>
      </w:tr>
    </w:tbl>
    <w:p w:rsidR="00000000" w:rsidDel="00000000" w:rsidP="00000000" w:rsidRDefault="00000000" w:rsidRPr="00000000" w14:paraId="0000008E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jbbghy8xzmks" w:id="26"/>
      <w:bookmarkEnd w:id="26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cej2aub6d62" w:id="27"/>
      <w:bookmarkEnd w:id="27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link e indicazione specifica della fonte documentale analizzata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Punti di Forza: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94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f2lwlry8e9p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Aree di Miglioramento: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96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8wj9h03v84h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Suggerimenti: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0" w:line="276" w:lineRule="auto"/>
        <w:ind w:left="0" w:right="0" w:firstLine="0"/>
        <w:jc w:val="both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0" w:line="276" w:lineRule="auto"/>
        <w:ind w:left="0" w:right="0" w:firstLine="0"/>
        <w:jc w:val="both"/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xcytpi" w:id="28"/>
      <w:bookmarkEnd w:id="2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0" w:line="276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 Analisi della relazione annuale della CPDS da parte del Dipartimento/Facoltà</w:t>
      </w:r>
    </w:p>
    <w:tbl>
      <w:tblPr>
        <w:tblStyle w:val="Table7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1155cc"/>
              </w:rPr>
            </w:pPr>
            <w:bookmarkStart w:colFirst="0" w:colLast="0" w:name="_heading=h.1ci93xb" w:id="29"/>
            <w:bookmarkEnd w:id="29"/>
            <w:r w:rsidDel="00000000" w:rsidR="00000000" w:rsidRPr="00000000">
              <w:rPr>
                <w:b w:val="1"/>
                <w:color w:val="1155cc"/>
                <w:rtl w:val="0"/>
              </w:rPr>
              <w:t xml:space="preserve">Punto di attenzione</w:t>
            </w:r>
          </w:p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1155cc"/>
                <w:rtl w:val="0"/>
              </w:rPr>
              <w:t xml:space="preserve">Il Dipartimento/Facoltà analizza e discute la relazione annuale della CPDS</w:t>
            </w:r>
          </w:p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 da considerare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36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Il Dipartimento/Facoltà analizza pubblicamente la Relazione della CPDS (ad esempio durante un apposito consiglio o mediante convocazione assemblea)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36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Sulla base delle criticità evidenziate dalla CPDS, il Dipartimento/Facoltà programma delle azioni di miglioramento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36" w:hanging="360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Il Dipartimento/Facoltà effettua un adeguato monitoraggio (e rendicontazione) di tali attività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Fonti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Verbali Consiglio di Dipartimento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720" w:hanging="360"/>
              <w:rPr>
                <w:rFonts w:ascii="Helvetica Neue Light" w:cs="Helvetica Neue Light" w:eastAsia="Helvetica Neue Light" w:hAnsi="Helvetica Neue Light"/>
                <w:i w:val="1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highlight w:val="white"/>
                <w:rtl w:val="0"/>
              </w:rPr>
              <w:t xml:space="preserve">Analisi o indagini autonomamente condotte dalla CPDS (indicare modalità di rilevazione)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ind w:left="720" w:hanging="360"/>
              <w:rPr>
                <w:rFonts w:ascii="Helvetica Neue Light" w:cs="Helvetica Neue Light" w:eastAsia="Helvetica Neue Light" w:hAnsi="Helvetica Neue Light"/>
                <w:color w:val="1155cc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i w:val="1"/>
                <w:color w:val="1155cc"/>
                <w:rtl w:val="0"/>
              </w:rPr>
              <w:t xml:space="preserve">Eventuali altri documenti del Dipartimento (specificare)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[massimo 1.500 caratteri, spazi inclusi]</w:t>
            </w:r>
          </w:p>
        </w:tc>
      </w:tr>
    </w:tbl>
    <w:p w:rsidR="00000000" w:rsidDel="00000000" w:rsidP="00000000" w:rsidRDefault="00000000" w:rsidRPr="00000000" w14:paraId="000000A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rvpvgbvsjhig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n6o5ofacze7" w:id="31"/>
      <w:bookmarkEnd w:id="31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juxqdxriaay" w:id="32"/>
      <w:bookmarkEnd w:id="32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Inserire link e indicazione specifica della fonte documentale analizzata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Punti di Forza: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AD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f2lwlry8e9p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gzm42g5tplqo" w:id="13"/>
      <w:bookmarkEnd w:id="13"/>
      <w:r w:rsidDel="00000000" w:rsidR="00000000" w:rsidRPr="00000000">
        <w:rPr>
          <w:b w:val="1"/>
          <w:rtl w:val="0"/>
        </w:rPr>
        <w:t xml:space="preserve">Aree di Miglioramento: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 Elenco (con denominazione sintetica) numerato</w:t>
      </w:r>
    </w:p>
    <w:p w:rsidR="00000000" w:rsidDel="00000000" w:rsidP="00000000" w:rsidRDefault="00000000" w:rsidRPr="00000000" w14:paraId="000000AF">
      <w:pPr>
        <w:keepNext w:val="1"/>
        <w:keepLines w:val="1"/>
        <w:spacing w:after="40" w:before="220" w:lineRule="auto"/>
        <w:rPr>
          <w:rFonts w:ascii="Helvetica Neue Light" w:cs="Helvetica Neue Light" w:eastAsia="Helvetica Neue Light" w:hAnsi="Helvetica Neue Light"/>
          <w:i w:val="1"/>
          <w:color w:val="1155cc"/>
        </w:rPr>
      </w:pPr>
      <w:bookmarkStart w:colFirst="0" w:colLast="0" w:name="_heading=h.8wj9h03v84h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Suggerimenti: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1155cc"/>
          <w:rtl w:val="0"/>
        </w:rPr>
        <w:t xml:space="preserve">Inserire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 w:orient="portrait"/>
      <w:pgMar w:bottom="1417" w:top="1134" w:left="1134" w:right="1134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Helvetica Neue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tabs>
        <w:tab w:val="center" w:leader="none" w:pos="4819"/>
        <w:tab w:val="right" w:leader="none" w:pos="9638"/>
      </w:tabs>
      <w:spacing w:before="0" w:line="240" w:lineRule="auto"/>
      <w:jc w:val="right"/>
      <w:rPr>
        <w:color w:val="808080"/>
      </w:rPr>
    </w:pPr>
    <w:r w:rsidDel="00000000" w:rsidR="00000000" w:rsidRPr="00000000">
      <w:rPr>
        <w:color w:val="80808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tabs>
        <w:tab w:val="center" w:leader="none" w:pos="4819"/>
        <w:tab w:val="right" w:leader="none" w:pos="9638"/>
      </w:tabs>
      <w:spacing w:before="0" w:line="240" w:lineRule="auto"/>
      <w:jc w:val="right"/>
      <w:rPr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tabs>
        <w:tab w:val="center" w:leader="none" w:pos="4819"/>
        <w:tab w:val="right" w:leader="none" w:pos="9638"/>
      </w:tabs>
      <w:spacing w:before="0" w:line="240" w:lineRule="auto"/>
      <w:jc w:val="right"/>
      <w:rPr>
        <w:color w:val="808080"/>
      </w:rPr>
    </w:pPr>
    <w:r w:rsidDel="00000000" w:rsidR="00000000" w:rsidRPr="00000000">
      <w:rPr>
        <w:color w:val="808080"/>
        <w:rtl w:val="0"/>
      </w:rPr>
      <w:t xml:space="preserve">Relazione Annuale della CPDS 2024 del Dipartimento di … - Parte 1-2</w:t>
    </w:r>
  </w:p>
  <w:p w:rsidR="00000000" w:rsidDel="00000000" w:rsidP="00000000" w:rsidRDefault="00000000" w:rsidRPr="00000000" w14:paraId="000000BC">
    <w:pPr>
      <w:tabs>
        <w:tab w:val="center" w:leader="none" w:pos="4819"/>
        <w:tab w:val="right" w:leader="none" w:pos="9638"/>
      </w:tabs>
      <w:spacing w:before="0" w:line="240" w:lineRule="auto"/>
      <w:jc w:val="right"/>
      <w:rPr/>
    </w:pPr>
    <w:r w:rsidDel="00000000" w:rsidR="00000000" w:rsidRPr="00000000">
      <w:rPr>
        <w:color w:val="808080"/>
        <w:rtl w:val="0"/>
      </w:rPr>
      <w:t xml:space="preserve">Approvata in data </w:t>
    </w:r>
    <w:r w:rsidDel="00000000" w:rsidR="00000000" w:rsidRPr="00000000">
      <w:rPr>
        <w:color w:val="ff0000"/>
        <w:rtl w:val="0"/>
      </w:rPr>
      <w:t xml:space="preserve">gg.mm.2024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3">
      <w:pPr>
        <w:spacing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Per la Facoltà di Medicina e Chirurgia indicare per ogni CdS il Dipartimento di afferenza formale.</w:t>
      </w:r>
    </w:p>
  </w:footnote>
  <w:footnote w:id="1">
    <w:p w:rsidR="00000000" w:rsidDel="00000000" w:rsidP="00000000" w:rsidRDefault="00000000" w:rsidRPr="00000000" w14:paraId="000000B4">
      <w:pPr>
        <w:spacing w:before="0"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Indicare date e modalità delle riunioni (plenarie / sottogruppi; in presenza / telematiche) effettuate nel corso dell’ultimo anno (2022).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spacing w:line="240" w:lineRule="auto"/>
      <w:rPr/>
    </w:pPr>
    <w:r w:rsidDel="00000000" w:rsidR="00000000" w:rsidRPr="00000000">
      <w:rPr>
        <w:rtl w:val="0"/>
      </w:rPr>
    </w:r>
  </w:p>
  <w:tbl>
    <w:tblPr>
      <w:tblStyle w:val="Table8"/>
      <w:tblW w:w="9630.0" w:type="dxa"/>
      <w:jc w:val="left"/>
      <w:tblInd w:w="10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30"/>
      <w:gridCol w:w="2400"/>
      <w:tblGridChange w:id="0">
        <w:tblGrid>
          <w:gridCol w:w="7230"/>
          <w:gridCol w:w="240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B6">
          <w:pPr>
            <w:spacing w:before="0" w:line="240" w:lineRule="auto"/>
            <w:rPr/>
          </w:pPr>
          <w:r w:rsidDel="00000000" w:rsidR="00000000" w:rsidRPr="00000000">
            <w:rPr>
              <w:rtl w:val="0"/>
            </w:rPr>
            <w:t xml:space="preserve">Dipartimento/Facoltà di …….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B7">
          <w:pPr>
            <w:widowControl w:val="1"/>
            <w:spacing w:before="0" w:line="240" w:lineRule="auto"/>
            <w:ind w:right="144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1135380" cy="39624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8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8">
    <w:pPr>
      <w:spacing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it-IT"/>
      </w:rPr>
    </w:rPrDefault>
    <w:pPrDefault>
      <w:pPr>
        <w:widowControl w:val="0"/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d14124" w:val="clear"/>
      <w:spacing w:after="120" w:before="0" w:line="240" w:lineRule="auto"/>
    </w:pPr>
    <w:rPr>
      <w:color w:val="fffff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="480" w:lineRule="auto"/>
      <w:ind w:left="6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48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360" w:lineRule="auto"/>
      <w:jc w:val="both"/>
    </w:pPr>
    <w:rPr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d14124" w:val="clear"/>
      <w:spacing w:after="120" w:before="0" w:line="240" w:lineRule="auto"/>
    </w:pPr>
    <w:rPr>
      <w:color w:val="fffff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="480" w:lineRule="auto"/>
      <w:ind w:left="6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48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360" w:lineRule="auto"/>
      <w:jc w:val="both"/>
    </w:pPr>
    <w:rPr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ffffff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hd w:color="auto" w:fill="d14124" w:val="clear"/>
      <w:spacing w:after="120" w:before="0" w:line="240" w:lineRule="auto"/>
      <w:outlineLvl w:val="0"/>
    </w:pPr>
    <w:rPr>
      <w:color w:val="ffffff"/>
      <w:sz w:val="40"/>
      <w:szCs w:val="40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120" w:line="480" w:lineRule="auto"/>
      <w:ind w:left="6"/>
      <w:contextualSpacing w:val="1"/>
      <w:outlineLvl w:val="1"/>
    </w:pPr>
    <w:rPr>
      <w:b w:val="1"/>
      <w:sz w:val="28"/>
      <w:szCs w:val="28"/>
    </w:rPr>
  </w:style>
  <w:style w:type="paragraph" w:styleId="Titolo3">
    <w:name w:val="heading 3"/>
    <w:basedOn w:val="Normale"/>
    <w:next w:val="Normale"/>
    <w:uiPriority w:val="9"/>
    <w:unhideWhenUsed w:val="1"/>
    <w:qFormat w:val="1"/>
    <w:pPr>
      <w:keepNext w:val="1"/>
      <w:spacing w:after="60" w:before="240" w:line="480" w:lineRule="auto"/>
      <w:outlineLvl w:val="2"/>
    </w:pPr>
    <w:rPr>
      <w:b w:val="1"/>
      <w:sz w:val="24"/>
      <w:szCs w:val="24"/>
    </w:rPr>
  </w:style>
  <w:style w:type="paragraph" w:styleId="Titolo4">
    <w:name w:val="heading 4"/>
    <w:basedOn w:val="Normale"/>
    <w:next w:val="Normale"/>
    <w:uiPriority w:val="9"/>
    <w:unhideWhenUsed w:val="1"/>
    <w:qFormat w:val="1"/>
    <w:pPr>
      <w:keepNext w:val="1"/>
      <w:keepLines w:val="1"/>
      <w:spacing w:after="60" w:before="240" w:line="360" w:lineRule="auto"/>
      <w:jc w:val="both"/>
      <w:outlineLvl w:val="3"/>
    </w:pPr>
    <w:rPr>
      <w:b w:val="1"/>
      <w:i w:val="1"/>
      <w:sz w:val="24"/>
      <w:szCs w:val="24"/>
    </w:rPr>
  </w:style>
  <w:style w:type="paragraph" w:styleId="Titolo5">
    <w:name w:val="heading 5"/>
    <w:basedOn w:val="Normale"/>
    <w:next w:val="Normale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unhideWhenUsed w:val="1"/>
    <w:qFormat w:val="1"/>
    <w:pPr>
      <w:keepNext w:val="1"/>
      <w:keepLines w:val="1"/>
      <w:spacing w:after="4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 w:line="240" w:lineRule="auto"/>
    </w:pPr>
    <w:rPr>
      <w:b w:val="1"/>
      <w:color w:val="ffffff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spacing w:before="0" w:line="240" w:lineRule="auto"/>
    </w:pPr>
    <w:rPr>
      <w:color w:val="ffffff"/>
      <w:sz w:val="32"/>
      <w:szCs w:val="32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E2153"/>
    <w:pPr>
      <w:spacing w:before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E2153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FE2153"/>
    <w:pPr>
      <w:tabs>
        <w:tab w:val="center" w:pos="4819"/>
        <w:tab w:val="right" w:pos="9638"/>
      </w:tabs>
      <w:spacing w:before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E2153"/>
  </w:style>
  <w:style w:type="paragraph" w:styleId="Pidipagina">
    <w:name w:val="footer"/>
    <w:basedOn w:val="Normale"/>
    <w:link w:val="PidipaginaCarattere"/>
    <w:uiPriority w:val="99"/>
    <w:unhideWhenUsed w:val="1"/>
    <w:rsid w:val="00FE2153"/>
    <w:pPr>
      <w:tabs>
        <w:tab w:val="center" w:pos="4819"/>
        <w:tab w:val="right" w:pos="9638"/>
      </w:tabs>
      <w:spacing w:before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E2153"/>
  </w:style>
  <w:style w:type="table" w:styleId="Grigliatabella">
    <w:name w:val="Table Grid"/>
    <w:basedOn w:val="Tabellanormale"/>
    <w:uiPriority w:val="59"/>
    <w:rsid w:val="009F7D41"/>
    <w:pPr>
      <w:spacing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8A15E7"/>
    <w:pPr>
      <w:ind w:left="720"/>
      <w:contextualSpacing w:val="1"/>
    </w:p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pPr>
      <w:spacing w:before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before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before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before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before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before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Default" w:customStyle="1">
    <w:name w:val="Default"/>
    <w:rsid w:val="0032703A"/>
    <w:pPr>
      <w:widowControl w:val="1"/>
      <w:autoSpaceDE w:val="0"/>
      <w:autoSpaceDN w:val="0"/>
      <w:adjustRightInd w:val="0"/>
      <w:spacing w:before="0" w:line="240" w:lineRule="auto"/>
    </w:pPr>
    <w:rPr>
      <w:rFonts w:ascii="Arial" w:cs="Arial" w:eastAsia="Times New Roman" w:hAnsi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3033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303350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30335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303350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303350"/>
    <w:rPr>
      <w:b w:val="1"/>
      <w:bCs w:val="1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ffffff"/>
      <w:sz w:val="32"/>
      <w:szCs w:val="32"/>
    </w:rPr>
  </w:style>
  <w:style w:type="table" w:styleId="Table1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ffffff"/>
      <w:sz w:val="32"/>
      <w:szCs w:val="32"/>
      <w:u w:val="none"/>
      <w:shd w:fill="auto" w:val="clear"/>
      <w:vertAlign w:val="baseline"/>
    </w:rPr>
  </w:style>
  <w:style w:type="table" w:styleId="Table1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before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HelveticaNeueLight-boldItalic.ttf"/><Relationship Id="rId9" Type="http://schemas.openxmlformats.org/officeDocument/2006/relationships/font" Target="fonts/HelveticaNeueLight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HelveticaNeueLight-regular.ttf"/><Relationship Id="rId8" Type="http://schemas.openxmlformats.org/officeDocument/2006/relationships/font" Target="fonts/HelveticaNeue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sW9Piev0Tqn6BDkcYQWfOWmUg==">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2023-07-12T11:17:00Z</dcterms:created>
  <dc:creator>Elisa GIBERTINI</dc:creator>
</cp:coreProperties>
</file>